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6"/>
        <w:gridCol w:w="5640"/>
      </w:tblGrid>
      <w:tr w:rsidR="002A3B02" w:rsidRPr="00D223F7" w:rsidTr="00DE3B7F">
        <w:trPr>
          <w:trHeight w:val="1987"/>
        </w:trPr>
        <w:tc>
          <w:tcPr>
            <w:tcW w:w="4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6B" w:rsidRPr="00D223F7" w:rsidRDefault="004B07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2B2563"/>
              </w:rPr>
            </w:pPr>
            <w:r w:rsidRPr="00D223F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5760C8F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820545" cy="1190625"/>
                  <wp:effectExtent l="0" t="0" r="8255" b="9525"/>
                  <wp:wrapSquare wrapText="bothSides"/>
                  <wp:docPr id="36" name="Imag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F89BEF-AA1C-4F57-A345-E40E78A08C2F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5">
                            <a:extLst>
                              <a:ext uri="{FF2B5EF4-FFF2-40B4-BE49-F238E27FC236}">
                                <a16:creationId xmlns:a16="http://schemas.microsoft.com/office/drawing/2014/main" id="{84F89BEF-AA1C-4F57-A345-E40E78A08C2F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6B" w:rsidRPr="00D223F7" w:rsidRDefault="005A5DF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color w:val="2B2563"/>
              </w:rPr>
            </w:pPr>
            <w:r w:rsidRPr="00D223F7">
              <w:rPr>
                <w:rFonts w:asciiTheme="minorHAnsi" w:hAnsiTheme="minorHAnsi" w:cstheme="minorHAnsi"/>
                <w:noProof/>
                <w:color w:val="2B2563"/>
              </w:rPr>
              <w:drawing>
                <wp:inline distT="0" distB="0" distL="0" distR="0">
                  <wp:extent cx="1430020" cy="904875"/>
                  <wp:effectExtent l="0" t="0" r="0" b="9525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257" cy="9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16B" w:rsidRPr="00D223F7" w:rsidRDefault="005A5DF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color w:val="2B2563"/>
              </w:rPr>
            </w:pPr>
            <w:r w:rsidRPr="00D223F7">
              <w:rPr>
                <w:rFonts w:asciiTheme="minorHAnsi" w:hAnsiTheme="minorHAnsi" w:cstheme="minorHAnsi"/>
                <w:b/>
                <w:color w:val="2B2563"/>
                <w:sz w:val="28"/>
                <w:szCs w:val="28"/>
              </w:rPr>
              <w:t>COMMUNIQUÉ DE PRESSE</w:t>
            </w:r>
          </w:p>
          <w:p w:rsidR="009C0C20" w:rsidRPr="00D223F7" w:rsidRDefault="009C0C20" w:rsidP="009C0C20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color w:val="2B2563"/>
              </w:rPr>
            </w:pPr>
            <w:r w:rsidRPr="00D223F7">
              <w:rPr>
                <w:rFonts w:asciiTheme="minorHAnsi" w:hAnsiTheme="minorHAnsi" w:cstheme="minorHAnsi"/>
                <w:color w:val="2B2563"/>
              </w:rPr>
              <w:t>Jeudi 4 avril 2019</w:t>
            </w:r>
          </w:p>
          <w:p w:rsidR="00624E40" w:rsidRPr="00D223F7" w:rsidRDefault="00624E40" w:rsidP="009C0C20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color w:val="2B2563"/>
              </w:rPr>
            </w:pPr>
          </w:p>
        </w:tc>
      </w:tr>
    </w:tbl>
    <w:p w:rsidR="00274CE2" w:rsidRPr="00D223F7" w:rsidRDefault="003B39B6" w:rsidP="00624E40">
      <w:pPr>
        <w:pStyle w:val="Standard"/>
        <w:pBdr>
          <w:top w:val="single" w:sz="4" w:space="1" w:color="2B2563"/>
          <w:bottom w:val="single" w:sz="4" w:space="0" w:color="2B2563"/>
        </w:pBdr>
        <w:spacing w:after="0"/>
        <w:ind w:left="708" w:hanging="708"/>
        <w:jc w:val="center"/>
        <w:rPr>
          <w:rFonts w:asciiTheme="minorHAnsi" w:hAnsiTheme="minorHAnsi" w:cstheme="minorHAnsi"/>
          <w:b/>
          <w:color w:val="2B2563"/>
          <w:sz w:val="28"/>
          <w:szCs w:val="20"/>
        </w:rPr>
        <w:sectPr w:rsidR="00274CE2" w:rsidRPr="00D223F7">
          <w:footerReference w:type="default" r:id="rId10"/>
          <w:pgSz w:w="11906" w:h="16838"/>
          <w:pgMar w:top="851" w:right="1134" w:bottom="851" w:left="851" w:header="720" w:footer="720" w:gutter="0"/>
          <w:cols w:space="720"/>
        </w:sectPr>
      </w:pPr>
      <w:r>
        <w:rPr>
          <w:rFonts w:asciiTheme="minorHAnsi" w:hAnsiTheme="minorHAnsi" w:cstheme="minorHAnsi"/>
          <w:b/>
          <w:color w:val="2B2563"/>
          <w:sz w:val="28"/>
          <w:szCs w:val="20"/>
        </w:rPr>
        <w:t>LES REVOLUTIONS SOCIETALES DU GRAND PARI</w:t>
      </w:r>
      <w:r w:rsidR="00585BFA">
        <w:rPr>
          <w:rFonts w:asciiTheme="minorHAnsi" w:hAnsiTheme="minorHAnsi" w:cstheme="minorHAnsi"/>
          <w:b/>
          <w:color w:val="2B2563"/>
          <w:sz w:val="28"/>
          <w:szCs w:val="20"/>
        </w:rPr>
        <w:t>S</w:t>
      </w:r>
    </w:p>
    <w:p w:rsidR="00624E40" w:rsidRPr="00D223F7" w:rsidRDefault="00624E40" w:rsidP="005618DE">
      <w:pPr>
        <w:ind w:right="-14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223F7">
        <w:rPr>
          <w:rFonts w:asciiTheme="minorHAnsi" w:hAnsiTheme="minorHAnsi" w:cstheme="minorHAnsi"/>
          <w:i/>
          <w:sz w:val="20"/>
          <w:szCs w:val="20"/>
        </w:rPr>
        <w:t>L’Observatoire Régional de l’Immobilier d’Entreprise (ORIE) a présenté lors du colloque, le jeudi 4 avril, les résultats de sa nouvelle étude « </w:t>
      </w:r>
      <w:r w:rsidRPr="00D223F7">
        <w:rPr>
          <w:rFonts w:asciiTheme="minorHAnsi" w:hAnsiTheme="minorHAnsi" w:cstheme="minorHAnsi"/>
          <w:b/>
          <w:i/>
          <w:sz w:val="20"/>
          <w:szCs w:val="20"/>
        </w:rPr>
        <w:t xml:space="preserve">GRAND PARIS ET ÉVOLUTIONS SOCIÉTALES : Incidences sur les pôles économiques à l’horizon 2030 </w:t>
      </w:r>
      <w:r w:rsidRPr="00D223F7">
        <w:rPr>
          <w:rFonts w:asciiTheme="minorHAnsi" w:hAnsiTheme="minorHAnsi" w:cstheme="minorHAnsi"/>
          <w:i/>
          <w:sz w:val="20"/>
          <w:szCs w:val="20"/>
        </w:rPr>
        <w:t xml:space="preserve">». </w:t>
      </w:r>
    </w:p>
    <w:p w:rsidR="00A11C77" w:rsidRPr="00D223F7" w:rsidRDefault="00A11C77" w:rsidP="002A3B0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1C77" w:rsidRPr="00D223F7" w:rsidRDefault="00A11C77" w:rsidP="002A3B02">
      <w:pPr>
        <w:jc w:val="both"/>
        <w:rPr>
          <w:rFonts w:asciiTheme="minorHAnsi" w:hAnsiTheme="minorHAnsi" w:cstheme="minorHAnsi"/>
          <w:sz w:val="20"/>
          <w:szCs w:val="20"/>
        </w:rPr>
        <w:sectPr w:rsidR="00A11C77" w:rsidRPr="00D223F7" w:rsidSect="00274CE2">
          <w:type w:val="continuous"/>
          <w:pgSz w:w="11906" w:h="16838"/>
          <w:pgMar w:top="851" w:right="1134" w:bottom="851" w:left="851" w:header="720" w:footer="720" w:gutter="0"/>
          <w:cols w:space="720"/>
        </w:sectPr>
      </w:pPr>
    </w:p>
    <w:p w:rsidR="00AE68A7" w:rsidRPr="00D223F7" w:rsidRDefault="00DB0F19" w:rsidP="002A3B02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223F7">
        <w:rPr>
          <w:rFonts w:asciiTheme="minorHAnsi" w:hAnsiTheme="minorHAnsi" w:cstheme="minorHAnsi"/>
          <w:b/>
          <w:color w:val="002060"/>
          <w:sz w:val="20"/>
          <w:szCs w:val="20"/>
        </w:rPr>
        <w:t>Présentation du projet</w:t>
      </w:r>
    </w:p>
    <w:p w:rsidR="000B310B" w:rsidRPr="00D223F7" w:rsidRDefault="000B310B" w:rsidP="002A3B02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AB0293" w:rsidRPr="00D223F7" w:rsidRDefault="000B310B" w:rsidP="002A3B02">
      <w:pPr>
        <w:jc w:val="both"/>
        <w:rPr>
          <w:rFonts w:asciiTheme="minorHAnsi" w:hAnsiTheme="minorHAnsi" w:cstheme="minorHAnsi"/>
          <w:sz w:val="20"/>
          <w:szCs w:val="20"/>
        </w:rPr>
      </w:pPr>
      <w:r w:rsidRPr="00D223F7">
        <w:rPr>
          <w:rFonts w:asciiTheme="minorHAnsi" w:hAnsiTheme="minorHAnsi" w:cstheme="minorHAnsi"/>
          <w:sz w:val="20"/>
          <w:szCs w:val="20"/>
        </w:rPr>
        <w:t xml:space="preserve">Inspiré du </w:t>
      </w:r>
      <w:proofErr w:type="spellStart"/>
      <w:r w:rsidRPr="00D223F7">
        <w:rPr>
          <w:rFonts w:asciiTheme="minorHAnsi" w:hAnsiTheme="minorHAnsi" w:cstheme="minorHAnsi"/>
          <w:sz w:val="20"/>
          <w:szCs w:val="20"/>
        </w:rPr>
        <w:t>Greater</w:t>
      </w:r>
      <w:proofErr w:type="spellEnd"/>
      <w:r w:rsidRPr="00D223F7">
        <w:rPr>
          <w:rFonts w:asciiTheme="minorHAnsi" w:hAnsiTheme="minorHAnsi" w:cstheme="minorHAnsi"/>
          <w:sz w:val="20"/>
          <w:szCs w:val="20"/>
        </w:rPr>
        <w:t xml:space="preserve"> London,</w:t>
      </w:r>
      <w:r w:rsidR="00DB0F19" w:rsidRPr="00D223F7">
        <w:rPr>
          <w:rFonts w:asciiTheme="minorHAnsi" w:hAnsiTheme="minorHAnsi" w:cstheme="minorHAnsi"/>
          <w:sz w:val="20"/>
          <w:szCs w:val="20"/>
        </w:rPr>
        <w:t xml:space="preserve"> le Grand Paris est un projet initié en 2008 </w:t>
      </w:r>
      <w:r w:rsidR="00D223F7" w:rsidRPr="00D223F7">
        <w:rPr>
          <w:rFonts w:asciiTheme="minorHAnsi" w:hAnsiTheme="minorHAnsi" w:cstheme="minorHAnsi"/>
          <w:sz w:val="20"/>
          <w:szCs w:val="20"/>
        </w:rPr>
        <w:t xml:space="preserve">intégrant </w:t>
      </w:r>
      <w:r w:rsidR="000C2AD5" w:rsidRPr="00D223F7">
        <w:rPr>
          <w:rFonts w:asciiTheme="minorHAnsi" w:hAnsiTheme="minorHAnsi" w:cstheme="minorHAnsi"/>
          <w:sz w:val="20"/>
          <w:szCs w:val="20"/>
        </w:rPr>
        <w:t>131 communes et 12 Établissements Publics Territoriaux rassemblés au sein de la région Ile-de-France.</w:t>
      </w:r>
    </w:p>
    <w:p w:rsidR="000C2AD5" w:rsidRPr="00D223F7" w:rsidRDefault="000C2AD5" w:rsidP="002A3B02">
      <w:pPr>
        <w:jc w:val="both"/>
        <w:rPr>
          <w:rFonts w:asciiTheme="minorHAnsi" w:hAnsiTheme="minorHAnsi" w:cstheme="minorHAnsi"/>
          <w:sz w:val="20"/>
          <w:szCs w:val="20"/>
        </w:rPr>
      </w:pPr>
      <w:r w:rsidRPr="00D223F7">
        <w:rPr>
          <w:rFonts w:asciiTheme="minorHAnsi" w:hAnsiTheme="minorHAnsi" w:cstheme="minorHAnsi"/>
          <w:sz w:val="20"/>
          <w:szCs w:val="20"/>
        </w:rPr>
        <w:t>Ce projet repose principalement sur le développement des transports publics</w:t>
      </w:r>
      <w:r w:rsidR="00D223F7" w:rsidRPr="00D223F7">
        <w:rPr>
          <w:rFonts w:asciiTheme="minorHAnsi" w:hAnsiTheme="minorHAnsi" w:cstheme="minorHAnsi"/>
          <w:sz w:val="20"/>
          <w:szCs w:val="20"/>
        </w:rPr>
        <w:t xml:space="preserve"> – </w:t>
      </w:r>
      <w:r w:rsidR="00BD7459">
        <w:rPr>
          <w:rFonts w:asciiTheme="minorHAnsi" w:hAnsiTheme="minorHAnsi" w:cstheme="minorHAnsi"/>
          <w:sz w:val="20"/>
          <w:szCs w:val="20"/>
        </w:rPr>
        <w:t>visant à</w:t>
      </w:r>
      <w:r w:rsidR="00D223F7" w:rsidRPr="00D223F7">
        <w:rPr>
          <w:rFonts w:asciiTheme="minorHAnsi" w:hAnsiTheme="minorHAnsi" w:cstheme="minorHAnsi"/>
          <w:sz w:val="20"/>
          <w:szCs w:val="20"/>
        </w:rPr>
        <w:t xml:space="preserve"> répondre aux besoins liés à l’optimisation des transports existants et de</w:t>
      </w:r>
      <w:r w:rsidR="006A1418">
        <w:rPr>
          <w:rFonts w:asciiTheme="minorHAnsi" w:hAnsiTheme="minorHAnsi" w:cstheme="minorHAnsi"/>
          <w:sz w:val="20"/>
          <w:szCs w:val="20"/>
        </w:rPr>
        <w:t>s</w:t>
      </w:r>
      <w:r w:rsidR="00D223F7" w:rsidRPr="00D223F7">
        <w:rPr>
          <w:rFonts w:asciiTheme="minorHAnsi" w:hAnsiTheme="minorHAnsi" w:cstheme="minorHAnsi"/>
          <w:sz w:val="20"/>
          <w:szCs w:val="20"/>
        </w:rPr>
        <w:t xml:space="preserve"> déplacements inter-banlieues – </w:t>
      </w:r>
      <w:r w:rsidRPr="00D223F7">
        <w:rPr>
          <w:rFonts w:asciiTheme="minorHAnsi" w:hAnsiTheme="minorHAnsi" w:cstheme="minorHAnsi"/>
          <w:sz w:val="20"/>
          <w:szCs w:val="20"/>
        </w:rPr>
        <w:t>ainsi que sur des politiques de développement et d’attractivité.</w:t>
      </w:r>
    </w:p>
    <w:p w:rsidR="000B310B" w:rsidRPr="00D223F7" w:rsidRDefault="000B310B" w:rsidP="002A3B0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0293" w:rsidRPr="00D223F7" w:rsidRDefault="000C2AD5" w:rsidP="002A3B02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223F7">
        <w:rPr>
          <w:rFonts w:asciiTheme="minorHAnsi" w:hAnsiTheme="minorHAnsi" w:cstheme="minorHAnsi"/>
          <w:b/>
          <w:color w:val="002060"/>
          <w:sz w:val="20"/>
          <w:szCs w:val="20"/>
        </w:rPr>
        <w:t>Les enjeux pour l’immobilier d’entreprise francilien</w:t>
      </w:r>
    </w:p>
    <w:p w:rsidR="000C2AD5" w:rsidRPr="00D223F7" w:rsidRDefault="000C2AD5" w:rsidP="002A3B02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0C2AD5" w:rsidRPr="00D223F7" w:rsidRDefault="000C2AD5" w:rsidP="002A3B02">
      <w:pPr>
        <w:jc w:val="both"/>
        <w:rPr>
          <w:rFonts w:asciiTheme="minorHAnsi" w:hAnsiTheme="minorHAnsi" w:cstheme="minorHAnsi"/>
          <w:sz w:val="20"/>
          <w:szCs w:val="20"/>
        </w:rPr>
      </w:pPr>
      <w:r w:rsidRPr="00D223F7">
        <w:rPr>
          <w:rFonts w:asciiTheme="minorHAnsi" w:hAnsiTheme="minorHAnsi" w:cstheme="minorHAnsi"/>
          <w:sz w:val="20"/>
          <w:szCs w:val="20"/>
        </w:rPr>
        <w:t xml:space="preserve">Le projet </w:t>
      </w:r>
      <w:r w:rsidR="00F121DD">
        <w:rPr>
          <w:rFonts w:asciiTheme="minorHAnsi" w:hAnsiTheme="minorHAnsi" w:cstheme="minorHAnsi"/>
          <w:sz w:val="20"/>
          <w:szCs w:val="20"/>
        </w:rPr>
        <w:t>revêt une importance capitale</w:t>
      </w:r>
      <w:r w:rsidRPr="00D223F7">
        <w:rPr>
          <w:rFonts w:asciiTheme="minorHAnsi" w:hAnsiTheme="minorHAnsi" w:cstheme="minorHAnsi"/>
          <w:sz w:val="20"/>
          <w:szCs w:val="20"/>
        </w:rPr>
        <w:t xml:space="preserve"> </w:t>
      </w:r>
      <w:r w:rsidR="00D223F7" w:rsidRPr="00D223F7">
        <w:rPr>
          <w:rFonts w:asciiTheme="minorHAnsi" w:hAnsiTheme="minorHAnsi" w:cstheme="minorHAnsi"/>
          <w:sz w:val="20"/>
          <w:szCs w:val="20"/>
        </w:rPr>
        <w:t>que ce soit dans</w:t>
      </w:r>
      <w:r w:rsidRPr="00D223F7">
        <w:rPr>
          <w:rFonts w:asciiTheme="minorHAnsi" w:hAnsiTheme="minorHAnsi" w:cstheme="minorHAnsi"/>
          <w:sz w:val="20"/>
          <w:szCs w:val="20"/>
        </w:rPr>
        <w:t xml:space="preserve"> </w:t>
      </w:r>
      <w:r w:rsidR="00813611">
        <w:rPr>
          <w:rFonts w:asciiTheme="minorHAnsi" w:hAnsiTheme="minorHAnsi" w:cstheme="minorHAnsi"/>
          <w:sz w:val="20"/>
          <w:szCs w:val="20"/>
        </w:rPr>
        <w:t>l’adaptation</w:t>
      </w:r>
      <w:r w:rsidRPr="00D223F7">
        <w:rPr>
          <w:rFonts w:asciiTheme="minorHAnsi" w:hAnsiTheme="minorHAnsi" w:cstheme="minorHAnsi"/>
          <w:sz w:val="20"/>
          <w:szCs w:val="20"/>
        </w:rPr>
        <w:t xml:space="preserve"> aux mutations des modes de travail, </w:t>
      </w:r>
      <w:r w:rsidR="00813611">
        <w:rPr>
          <w:rFonts w:asciiTheme="minorHAnsi" w:hAnsiTheme="minorHAnsi" w:cstheme="minorHAnsi"/>
          <w:sz w:val="20"/>
          <w:szCs w:val="20"/>
        </w:rPr>
        <w:t>l’intégration</w:t>
      </w:r>
      <w:r w:rsidRPr="00D223F7">
        <w:rPr>
          <w:rFonts w:asciiTheme="minorHAnsi" w:hAnsiTheme="minorHAnsi" w:cstheme="minorHAnsi"/>
          <w:sz w:val="20"/>
          <w:szCs w:val="20"/>
        </w:rPr>
        <w:t xml:space="preserve"> </w:t>
      </w:r>
      <w:r w:rsidR="00813611">
        <w:rPr>
          <w:rFonts w:asciiTheme="minorHAnsi" w:hAnsiTheme="minorHAnsi" w:cstheme="minorHAnsi"/>
          <w:sz w:val="20"/>
          <w:szCs w:val="20"/>
        </w:rPr>
        <w:t>d</w:t>
      </w:r>
      <w:r w:rsidRPr="00D223F7">
        <w:rPr>
          <w:rFonts w:asciiTheme="minorHAnsi" w:hAnsiTheme="minorHAnsi" w:cstheme="minorHAnsi"/>
          <w:sz w:val="20"/>
          <w:szCs w:val="20"/>
        </w:rPr>
        <w:t xml:space="preserve">es enjeux environnementaux ainsi que </w:t>
      </w:r>
      <w:r w:rsidR="00813611">
        <w:rPr>
          <w:rFonts w:asciiTheme="minorHAnsi" w:hAnsiTheme="minorHAnsi" w:cstheme="minorHAnsi"/>
          <w:sz w:val="20"/>
          <w:szCs w:val="20"/>
        </w:rPr>
        <w:t>sur l’anticipation</w:t>
      </w:r>
      <w:r w:rsidRPr="00D223F7">
        <w:rPr>
          <w:rFonts w:asciiTheme="minorHAnsi" w:hAnsiTheme="minorHAnsi" w:cstheme="minorHAnsi"/>
          <w:sz w:val="20"/>
          <w:szCs w:val="20"/>
        </w:rPr>
        <w:t xml:space="preserve"> </w:t>
      </w:r>
      <w:r w:rsidR="00813611">
        <w:rPr>
          <w:rFonts w:asciiTheme="minorHAnsi" w:hAnsiTheme="minorHAnsi" w:cstheme="minorHAnsi"/>
          <w:sz w:val="20"/>
          <w:szCs w:val="20"/>
        </w:rPr>
        <w:t>du</w:t>
      </w:r>
      <w:r w:rsidRPr="00D223F7">
        <w:rPr>
          <w:rFonts w:asciiTheme="minorHAnsi" w:hAnsiTheme="minorHAnsi" w:cstheme="minorHAnsi"/>
          <w:sz w:val="20"/>
          <w:szCs w:val="20"/>
        </w:rPr>
        <w:t xml:space="preserve"> développement des transports sur l’implantation de l’emploi.</w:t>
      </w:r>
    </w:p>
    <w:p w:rsidR="000C2AD5" w:rsidRPr="00D223F7" w:rsidRDefault="000C2AD5" w:rsidP="002A3B0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2AD5" w:rsidRPr="00D223F7" w:rsidRDefault="000C2AD5" w:rsidP="002A3B02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223F7">
        <w:rPr>
          <w:rFonts w:asciiTheme="minorHAnsi" w:hAnsiTheme="minorHAnsi" w:cstheme="minorHAnsi"/>
          <w:b/>
          <w:color w:val="002060"/>
          <w:sz w:val="20"/>
          <w:szCs w:val="20"/>
        </w:rPr>
        <w:t>Deux thèses en présence</w:t>
      </w:r>
    </w:p>
    <w:p w:rsidR="000C2AD5" w:rsidRPr="00D223F7" w:rsidRDefault="000C2AD5" w:rsidP="002A3B02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4B4380" w:rsidRDefault="00334A5C" w:rsidP="002A3B02">
      <w:pPr>
        <w:jc w:val="both"/>
        <w:rPr>
          <w:rFonts w:asciiTheme="minorHAnsi" w:hAnsiTheme="minorHAnsi" w:cstheme="minorHAnsi"/>
          <w:sz w:val="20"/>
          <w:szCs w:val="20"/>
        </w:rPr>
      </w:pPr>
      <w:r w:rsidRPr="00D223F7">
        <w:rPr>
          <w:rFonts w:asciiTheme="minorHAnsi" w:hAnsiTheme="minorHAnsi" w:cstheme="minorHAnsi"/>
          <w:sz w:val="20"/>
          <w:szCs w:val="20"/>
        </w:rPr>
        <w:t>Les contributeurs de l’étude du Grand Paris ont émis deux thèses sur l’évolution à venir des territoires</w:t>
      </w:r>
      <w:r w:rsidR="00813611">
        <w:rPr>
          <w:rFonts w:asciiTheme="minorHAnsi" w:hAnsiTheme="minorHAnsi" w:cstheme="minorHAnsi"/>
          <w:sz w:val="20"/>
          <w:szCs w:val="20"/>
        </w:rPr>
        <w:t>.</w:t>
      </w:r>
      <w:r w:rsidRPr="00D223F7">
        <w:rPr>
          <w:rFonts w:asciiTheme="minorHAnsi" w:hAnsiTheme="minorHAnsi" w:cstheme="minorHAnsi"/>
          <w:sz w:val="20"/>
          <w:szCs w:val="20"/>
        </w:rPr>
        <w:t xml:space="preserve"> </w:t>
      </w:r>
      <w:r w:rsidR="00813611">
        <w:rPr>
          <w:rFonts w:asciiTheme="minorHAnsi" w:hAnsiTheme="minorHAnsi" w:cstheme="minorHAnsi"/>
          <w:sz w:val="20"/>
          <w:szCs w:val="20"/>
        </w:rPr>
        <w:t>C</w:t>
      </w:r>
      <w:r w:rsidRPr="00D223F7">
        <w:rPr>
          <w:rFonts w:asciiTheme="minorHAnsi" w:hAnsiTheme="minorHAnsi" w:cstheme="minorHAnsi"/>
          <w:sz w:val="20"/>
          <w:szCs w:val="20"/>
        </w:rPr>
        <w:t>hacune</w:t>
      </w:r>
      <w:r w:rsidR="00813611">
        <w:rPr>
          <w:rFonts w:asciiTheme="minorHAnsi" w:hAnsiTheme="minorHAnsi" w:cstheme="minorHAnsi"/>
          <w:sz w:val="20"/>
          <w:szCs w:val="20"/>
        </w:rPr>
        <w:t xml:space="preserve"> des deux est guidée</w:t>
      </w:r>
      <w:r w:rsidRPr="00D223F7">
        <w:rPr>
          <w:rFonts w:asciiTheme="minorHAnsi" w:hAnsiTheme="minorHAnsi" w:cstheme="minorHAnsi"/>
          <w:sz w:val="20"/>
          <w:szCs w:val="20"/>
        </w:rPr>
        <w:t xml:space="preserve"> par des faits déclencheurs </w:t>
      </w:r>
      <w:r w:rsidR="00F121DD">
        <w:rPr>
          <w:rFonts w:asciiTheme="minorHAnsi" w:hAnsiTheme="minorHAnsi" w:cstheme="minorHAnsi"/>
          <w:sz w:val="20"/>
          <w:szCs w:val="20"/>
        </w:rPr>
        <w:t>d’origine économique et sociétale</w:t>
      </w:r>
      <w:r w:rsidRPr="00D223F7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4B4380" w:rsidRDefault="0085692C" w:rsidP="004B438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4B4380" w:rsidRPr="004B4380">
        <w:rPr>
          <w:rFonts w:asciiTheme="minorHAnsi" w:hAnsiTheme="minorHAnsi" w:cstheme="minorHAnsi"/>
          <w:sz w:val="20"/>
          <w:szCs w:val="20"/>
        </w:rPr>
        <w:t>-</w:t>
      </w:r>
      <w:r w:rsidR="004B4380">
        <w:rPr>
          <w:rFonts w:asciiTheme="minorHAnsi" w:hAnsiTheme="minorHAnsi" w:cstheme="minorHAnsi"/>
          <w:sz w:val="20"/>
          <w:szCs w:val="20"/>
        </w:rPr>
        <w:t xml:space="preserve"> </w:t>
      </w:r>
      <w:r w:rsidR="004B4380" w:rsidRPr="0085692C">
        <w:rPr>
          <w:rFonts w:asciiTheme="minorHAnsi" w:hAnsiTheme="minorHAnsi" w:cstheme="minorHAnsi"/>
          <w:b/>
          <w:sz w:val="20"/>
          <w:szCs w:val="20"/>
        </w:rPr>
        <w:t>L</w:t>
      </w:r>
      <w:r w:rsidR="00334A5C" w:rsidRPr="0085692C">
        <w:rPr>
          <w:rFonts w:asciiTheme="minorHAnsi" w:hAnsiTheme="minorHAnsi" w:cstheme="minorHAnsi"/>
          <w:b/>
          <w:sz w:val="20"/>
          <w:szCs w:val="20"/>
        </w:rPr>
        <w:t>e Grand Paris provoquera la</w:t>
      </w:r>
      <w:r w:rsidR="00334A5C" w:rsidRPr="004B4380">
        <w:rPr>
          <w:rFonts w:asciiTheme="minorHAnsi" w:hAnsiTheme="minorHAnsi" w:cstheme="minorHAnsi"/>
          <w:sz w:val="20"/>
          <w:szCs w:val="20"/>
        </w:rPr>
        <w:t xml:space="preserve"> </w:t>
      </w:r>
      <w:r w:rsidR="00334A5C" w:rsidRPr="0085692C">
        <w:rPr>
          <w:rFonts w:asciiTheme="minorHAnsi" w:hAnsiTheme="minorHAnsi" w:cstheme="minorHAnsi"/>
          <w:b/>
          <w:sz w:val="20"/>
          <w:szCs w:val="20"/>
        </w:rPr>
        <w:t>massification des pôles existants</w:t>
      </w:r>
      <w:r w:rsidR="004B4380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Ce phénomène</w:t>
      </w:r>
      <w:r w:rsidR="004B4380">
        <w:rPr>
          <w:rFonts w:asciiTheme="minorHAnsi" w:hAnsiTheme="minorHAnsi" w:cstheme="minorHAnsi"/>
          <w:sz w:val="20"/>
          <w:szCs w:val="20"/>
        </w:rPr>
        <w:t xml:space="preserve"> serait</w:t>
      </w:r>
      <w:r w:rsidR="00334A5C" w:rsidRPr="004B4380">
        <w:rPr>
          <w:rFonts w:asciiTheme="minorHAnsi" w:hAnsiTheme="minorHAnsi" w:cstheme="minorHAnsi"/>
          <w:sz w:val="20"/>
          <w:szCs w:val="20"/>
        </w:rPr>
        <w:t xml:space="preserve"> </w:t>
      </w:r>
      <w:r w:rsidR="004B4380">
        <w:rPr>
          <w:rFonts w:asciiTheme="minorHAnsi" w:hAnsiTheme="minorHAnsi" w:cstheme="minorHAnsi"/>
          <w:sz w:val="20"/>
          <w:szCs w:val="20"/>
        </w:rPr>
        <w:t xml:space="preserve">notamment </w:t>
      </w:r>
      <w:r>
        <w:rPr>
          <w:rFonts w:asciiTheme="minorHAnsi" w:hAnsiTheme="minorHAnsi" w:cstheme="minorHAnsi"/>
          <w:sz w:val="20"/>
          <w:szCs w:val="20"/>
        </w:rPr>
        <w:t>déclenché</w:t>
      </w:r>
      <w:r w:rsidR="004B4380">
        <w:rPr>
          <w:rFonts w:asciiTheme="minorHAnsi" w:hAnsiTheme="minorHAnsi" w:cstheme="minorHAnsi"/>
          <w:sz w:val="20"/>
          <w:szCs w:val="20"/>
        </w:rPr>
        <w:t xml:space="preserve"> par</w:t>
      </w:r>
      <w:r w:rsidR="00B34B11">
        <w:rPr>
          <w:rFonts w:asciiTheme="minorHAnsi" w:hAnsiTheme="minorHAnsi" w:cstheme="minorHAnsi"/>
          <w:sz w:val="20"/>
          <w:szCs w:val="20"/>
        </w:rPr>
        <w:t xml:space="preserve"> des facteurs multiples tels que</w:t>
      </w:r>
      <w:r w:rsidR="004B4380">
        <w:rPr>
          <w:rFonts w:asciiTheme="minorHAnsi" w:hAnsiTheme="minorHAnsi" w:cstheme="minorHAnsi"/>
          <w:sz w:val="20"/>
          <w:szCs w:val="20"/>
        </w:rPr>
        <w:t xml:space="preserve"> la hausse de la mobilité qui entrainera des restrictions visant à réduire l’étalement urbain ou par le développement du travail nomade qui renforcera le besoin des entreprises de se localiser dans le centre des pôles.</w:t>
      </w:r>
    </w:p>
    <w:p w:rsidR="00E54B12" w:rsidRDefault="0085692C" w:rsidP="002A3B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4B4380">
        <w:rPr>
          <w:rFonts w:asciiTheme="minorHAnsi" w:hAnsiTheme="minorHAnsi" w:cstheme="minorHAnsi"/>
          <w:sz w:val="20"/>
          <w:szCs w:val="20"/>
        </w:rPr>
        <w:t xml:space="preserve">- </w:t>
      </w:r>
      <w:r w:rsidR="004B4380" w:rsidRPr="0085692C">
        <w:rPr>
          <w:rFonts w:asciiTheme="minorHAnsi" w:hAnsiTheme="minorHAnsi" w:cstheme="minorHAnsi"/>
          <w:b/>
          <w:sz w:val="20"/>
          <w:szCs w:val="20"/>
        </w:rPr>
        <w:t>Le Grand Paris verra</w:t>
      </w:r>
      <w:r w:rsidR="00334A5C" w:rsidRPr="004B4380">
        <w:rPr>
          <w:rFonts w:asciiTheme="minorHAnsi" w:hAnsiTheme="minorHAnsi" w:cstheme="minorHAnsi"/>
          <w:sz w:val="20"/>
          <w:szCs w:val="20"/>
        </w:rPr>
        <w:t xml:space="preserve"> </w:t>
      </w:r>
      <w:r w:rsidR="004B4380" w:rsidRPr="0085692C">
        <w:rPr>
          <w:rFonts w:asciiTheme="minorHAnsi" w:hAnsiTheme="minorHAnsi" w:cstheme="minorHAnsi"/>
          <w:b/>
          <w:sz w:val="20"/>
          <w:szCs w:val="20"/>
        </w:rPr>
        <w:t>émerger</w:t>
      </w:r>
      <w:r w:rsidR="00334A5C" w:rsidRPr="0085692C">
        <w:rPr>
          <w:rFonts w:asciiTheme="minorHAnsi" w:hAnsiTheme="minorHAnsi" w:cstheme="minorHAnsi"/>
          <w:b/>
          <w:sz w:val="20"/>
          <w:szCs w:val="20"/>
        </w:rPr>
        <w:t xml:space="preserve"> de nouveaux pôles</w:t>
      </w:r>
      <w:r w:rsidR="00334A5C" w:rsidRPr="004B4380">
        <w:rPr>
          <w:rFonts w:asciiTheme="minorHAnsi" w:hAnsiTheme="minorHAnsi" w:cstheme="minorHAnsi"/>
          <w:sz w:val="20"/>
          <w:szCs w:val="20"/>
        </w:rPr>
        <w:t xml:space="preserve">. </w:t>
      </w:r>
      <w:r w:rsidR="004B4380">
        <w:rPr>
          <w:rFonts w:asciiTheme="minorHAnsi" w:hAnsiTheme="minorHAnsi" w:cstheme="minorHAnsi"/>
          <w:sz w:val="20"/>
          <w:szCs w:val="20"/>
        </w:rPr>
        <w:t>L</w:t>
      </w:r>
      <w:r w:rsidR="00E54B12">
        <w:rPr>
          <w:rFonts w:asciiTheme="minorHAnsi" w:hAnsiTheme="minorHAnsi" w:cstheme="minorHAnsi"/>
          <w:sz w:val="20"/>
          <w:szCs w:val="20"/>
        </w:rPr>
        <w:t xml:space="preserve">es principaux faits déclencheurs </w:t>
      </w:r>
      <w:r w:rsidR="001F7042">
        <w:rPr>
          <w:rFonts w:asciiTheme="minorHAnsi" w:hAnsiTheme="minorHAnsi" w:cstheme="minorHAnsi"/>
          <w:sz w:val="20"/>
          <w:szCs w:val="20"/>
        </w:rPr>
        <w:t>s</w:t>
      </w:r>
      <w:r w:rsidR="00BA1CDD">
        <w:rPr>
          <w:rFonts w:asciiTheme="minorHAnsi" w:hAnsiTheme="minorHAnsi" w:cstheme="minorHAnsi"/>
          <w:sz w:val="20"/>
          <w:szCs w:val="20"/>
        </w:rPr>
        <w:t>eraient</w:t>
      </w:r>
      <w:r w:rsidR="00E54B12">
        <w:rPr>
          <w:rFonts w:asciiTheme="minorHAnsi" w:hAnsiTheme="minorHAnsi" w:cstheme="minorHAnsi"/>
          <w:sz w:val="20"/>
          <w:szCs w:val="20"/>
        </w:rPr>
        <w:t xml:space="preserve"> </w:t>
      </w:r>
      <w:r w:rsidR="001F7042">
        <w:rPr>
          <w:rFonts w:asciiTheme="minorHAnsi" w:hAnsiTheme="minorHAnsi" w:cstheme="minorHAnsi"/>
          <w:sz w:val="20"/>
          <w:szCs w:val="20"/>
        </w:rPr>
        <w:t xml:space="preserve">une </w:t>
      </w:r>
      <w:r w:rsidR="00E54B12">
        <w:rPr>
          <w:rFonts w:asciiTheme="minorHAnsi" w:hAnsiTheme="minorHAnsi" w:cstheme="minorHAnsi"/>
          <w:sz w:val="20"/>
          <w:szCs w:val="20"/>
        </w:rPr>
        <w:t xml:space="preserve">croissance économique </w:t>
      </w:r>
      <w:r w:rsidR="001F7042">
        <w:rPr>
          <w:rFonts w:asciiTheme="minorHAnsi" w:hAnsiTheme="minorHAnsi" w:cstheme="minorHAnsi"/>
          <w:sz w:val="20"/>
          <w:szCs w:val="20"/>
        </w:rPr>
        <w:t xml:space="preserve">forte ou au contraire une phase de décroissance. </w:t>
      </w:r>
      <w:r w:rsidR="003A3D0F">
        <w:rPr>
          <w:rFonts w:asciiTheme="minorHAnsi" w:hAnsiTheme="minorHAnsi" w:cstheme="minorHAnsi"/>
          <w:sz w:val="20"/>
          <w:szCs w:val="20"/>
        </w:rPr>
        <w:t xml:space="preserve">Les </w:t>
      </w:r>
      <w:r w:rsidR="001F7042">
        <w:rPr>
          <w:rFonts w:asciiTheme="minorHAnsi" w:hAnsiTheme="minorHAnsi" w:cstheme="minorHAnsi"/>
          <w:sz w:val="20"/>
          <w:szCs w:val="20"/>
        </w:rPr>
        <w:t>deux cas</w:t>
      </w:r>
      <w:r w:rsidR="009429BA">
        <w:rPr>
          <w:rFonts w:asciiTheme="minorHAnsi" w:hAnsiTheme="minorHAnsi" w:cstheme="minorHAnsi"/>
          <w:sz w:val="20"/>
          <w:szCs w:val="20"/>
        </w:rPr>
        <w:t xml:space="preserve"> amèner</w:t>
      </w:r>
      <w:r w:rsidR="008858DE">
        <w:rPr>
          <w:rFonts w:asciiTheme="minorHAnsi" w:hAnsiTheme="minorHAnsi" w:cstheme="minorHAnsi"/>
          <w:sz w:val="20"/>
          <w:szCs w:val="20"/>
        </w:rPr>
        <w:t>ont</w:t>
      </w:r>
      <w:r w:rsidR="001F7042">
        <w:rPr>
          <w:rFonts w:asciiTheme="minorHAnsi" w:hAnsiTheme="minorHAnsi" w:cstheme="minorHAnsi"/>
          <w:sz w:val="20"/>
          <w:szCs w:val="20"/>
        </w:rPr>
        <w:t xml:space="preserve"> les entreprises à privilégier les territoires en périphérie.</w:t>
      </w:r>
      <w:r w:rsidR="00BA1CDD">
        <w:rPr>
          <w:rFonts w:asciiTheme="minorHAnsi" w:hAnsiTheme="minorHAnsi" w:cstheme="minorHAnsi"/>
          <w:sz w:val="20"/>
          <w:szCs w:val="20"/>
        </w:rPr>
        <w:t xml:space="preserve"> La saturation des logements et des services urbains en centre-ville </w:t>
      </w:r>
      <w:r w:rsidR="008858DE">
        <w:rPr>
          <w:rFonts w:asciiTheme="minorHAnsi" w:hAnsiTheme="minorHAnsi" w:cstheme="minorHAnsi"/>
          <w:sz w:val="20"/>
          <w:szCs w:val="20"/>
        </w:rPr>
        <w:t>sera</w:t>
      </w:r>
      <w:r w:rsidR="009429BA">
        <w:rPr>
          <w:rFonts w:asciiTheme="minorHAnsi" w:hAnsiTheme="minorHAnsi" w:cstheme="minorHAnsi"/>
          <w:sz w:val="20"/>
          <w:szCs w:val="20"/>
        </w:rPr>
        <w:t xml:space="preserve"> également</w:t>
      </w:r>
      <w:r w:rsidR="00BA1CDD">
        <w:rPr>
          <w:rFonts w:asciiTheme="minorHAnsi" w:hAnsiTheme="minorHAnsi" w:cstheme="minorHAnsi"/>
          <w:sz w:val="20"/>
          <w:szCs w:val="20"/>
        </w:rPr>
        <w:t xml:space="preserve"> un fait déclencheur</w:t>
      </w:r>
      <w:r w:rsidR="009429BA">
        <w:rPr>
          <w:rFonts w:asciiTheme="minorHAnsi" w:hAnsiTheme="minorHAnsi" w:cstheme="minorHAnsi"/>
          <w:sz w:val="20"/>
          <w:szCs w:val="20"/>
        </w:rPr>
        <w:t xml:space="preserve"> </w:t>
      </w:r>
      <w:r w:rsidR="004B4380">
        <w:rPr>
          <w:rFonts w:asciiTheme="minorHAnsi" w:hAnsiTheme="minorHAnsi" w:cstheme="minorHAnsi"/>
          <w:sz w:val="20"/>
          <w:szCs w:val="20"/>
        </w:rPr>
        <w:t>de l’émergence</w:t>
      </w:r>
      <w:r w:rsidR="009429BA">
        <w:rPr>
          <w:rFonts w:asciiTheme="minorHAnsi" w:hAnsiTheme="minorHAnsi" w:cstheme="minorHAnsi"/>
          <w:sz w:val="20"/>
          <w:szCs w:val="20"/>
        </w:rPr>
        <w:t>.</w:t>
      </w:r>
    </w:p>
    <w:p w:rsidR="00DE3B7F" w:rsidRDefault="00DE3B7F" w:rsidP="002A3B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ne faut pas oublier que les deux hypothèses proposées contiennent des effets négatifs qu’on ne peut ignorer.</w:t>
      </w:r>
    </w:p>
    <w:p w:rsidR="005B3F23" w:rsidRDefault="00BA1CDD" w:rsidP="002A3B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L’analyse de ces faits déclencheurs</w:t>
      </w:r>
      <w:r w:rsidR="004B4380">
        <w:rPr>
          <w:rFonts w:asciiTheme="minorHAnsi" w:hAnsiTheme="minorHAnsi" w:cstheme="minorHAnsi"/>
          <w:sz w:val="20"/>
          <w:szCs w:val="20"/>
        </w:rPr>
        <w:t xml:space="preserve"> et de leurs aspects négatifs</w:t>
      </w:r>
      <w:r>
        <w:rPr>
          <w:rFonts w:asciiTheme="minorHAnsi" w:hAnsiTheme="minorHAnsi" w:cstheme="minorHAnsi"/>
          <w:sz w:val="20"/>
          <w:szCs w:val="20"/>
        </w:rPr>
        <w:t xml:space="preserve"> a amené le groupe de travail à privilégier l’hypothèse de massification des pôles existants sans toutefois exclure l’hypothèse d</w:t>
      </w:r>
      <w:r w:rsidR="00DE3B7F">
        <w:rPr>
          <w:rFonts w:asciiTheme="minorHAnsi" w:hAnsiTheme="minorHAnsi" w:cstheme="minorHAnsi"/>
          <w:sz w:val="20"/>
          <w:szCs w:val="20"/>
        </w:rPr>
        <w:t>e l’</w:t>
      </w:r>
      <w:r w:rsidR="00A86497">
        <w:rPr>
          <w:rFonts w:asciiTheme="minorHAnsi" w:hAnsiTheme="minorHAnsi" w:cstheme="minorHAnsi"/>
          <w:sz w:val="20"/>
          <w:szCs w:val="20"/>
        </w:rPr>
        <w:t xml:space="preserve">émergence </w:t>
      </w:r>
      <w:r>
        <w:rPr>
          <w:rFonts w:asciiTheme="minorHAnsi" w:hAnsiTheme="minorHAnsi" w:cstheme="minorHAnsi"/>
          <w:sz w:val="20"/>
          <w:szCs w:val="20"/>
        </w:rPr>
        <w:t>de quelques nouveaux pôles à l’horizon 2030.</w:t>
      </w:r>
    </w:p>
    <w:p w:rsidR="00AB0293" w:rsidRPr="00D223F7" w:rsidRDefault="00AB0293" w:rsidP="002A3B0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0293" w:rsidRPr="00D223F7" w:rsidRDefault="00AB0293" w:rsidP="002A3B02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223F7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Trois enjeux retenus par le groupe de travail </w:t>
      </w:r>
    </w:p>
    <w:p w:rsidR="00AB0293" w:rsidRDefault="00AB0293" w:rsidP="002A3B0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B72F8" w:rsidRDefault="002B72F8" w:rsidP="00522D53">
      <w:pPr>
        <w:pStyle w:val="Corps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</w:pPr>
    </w:p>
    <w:p w:rsidR="002B72F8" w:rsidRDefault="002B72F8" w:rsidP="00522D53">
      <w:pPr>
        <w:pStyle w:val="Corps"/>
        <w:jc w:val="both"/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Enjeu n°1 :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Faciliter la densification des pôles existants.</w:t>
      </w:r>
    </w:p>
    <w:p w:rsidR="002B72F8" w:rsidRPr="002B72F8" w:rsidRDefault="002B72F8" w:rsidP="00522D53">
      <w:pPr>
        <w:pStyle w:val="Corps"/>
        <w:jc w:val="both"/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2B72F8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Préconisations :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alléger les règlementations dans la construction, anticiper </w:t>
      </w:r>
      <w:bookmarkStart w:id="0" w:name="_GoBack"/>
      <w:bookmarkEnd w:id="0"/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les nouvelles normes environnementales, proposer des solutions pour favoriser la mobilité résidentielle</w:t>
      </w:r>
      <w:r w:rsidR="00B64E9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et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prendre en compte les évolutions à venir du parc automobile.</w:t>
      </w:r>
    </w:p>
    <w:p w:rsidR="002B72F8" w:rsidRDefault="002B72F8" w:rsidP="00522D53">
      <w:pPr>
        <w:pStyle w:val="Corps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</w:pPr>
    </w:p>
    <w:p w:rsidR="00A96EDE" w:rsidRDefault="00522D53" w:rsidP="00522D53">
      <w:pPr>
        <w:pStyle w:val="Corps"/>
        <w:jc w:val="both"/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452BAE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Enjeu n°</w:t>
      </w:r>
      <w:r w:rsidR="002B72F8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2</w:t>
      </w:r>
      <w:r w:rsidRPr="00452BAE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 :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2B72F8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Accepter l’idée de pôles alternatifs, complémentaires et non concurrents</w:t>
      </w:r>
      <w:r w:rsidR="00A96EDE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.</w:t>
      </w:r>
    </w:p>
    <w:p w:rsidR="00522D53" w:rsidRDefault="00A96EDE" w:rsidP="00522D53">
      <w:pPr>
        <w:pStyle w:val="Corps"/>
        <w:jc w:val="both"/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96EDE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Préconisation</w:t>
      </w:r>
      <w:r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s</w:t>
      </w:r>
      <w:r w:rsidRPr="00A96EDE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 :</w:t>
      </w:r>
      <w:r w:rsidR="00522D5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2B72F8" w:rsidRPr="002B72F8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Faciliter l’accueil du travail à distance en proposant notamment une Offre de services attractifs et mixtes</w:t>
      </w:r>
      <w:r w:rsidR="002B72F8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.</w:t>
      </w:r>
    </w:p>
    <w:p w:rsidR="00A96EDE" w:rsidRPr="00522D53" w:rsidRDefault="00A96EDE" w:rsidP="00522D53">
      <w:pPr>
        <w:pStyle w:val="Corps"/>
        <w:jc w:val="both"/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</w:p>
    <w:p w:rsidR="00A96EDE" w:rsidRDefault="00522D53" w:rsidP="00081913">
      <w:pPr>
        <w:pStyle w:val="Corps"/>
        <w:jc w:val="both"/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452BAE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Enjeu n°</w:t>
      </w:r>
      <w:r w:rsidR="002B72F8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3</w:t>
      </w:r>
      <w:r w:rsidRPr="00452BAE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 :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2B72F8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Encourager et faciliter la</w:t>
      </w:r>
      <w:r w:rsidR="00AB0293" w:rsidRPr="00D223F7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mixité fonctionnell</w:t>
      </w:r>
      <w:r w:rsidR="002B72F8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e des nouvelles opérations.</w:t>
      </w:r>
    </w:p>
    <w:p w:rsidR="00AB0293" w:rsidRDefault="00A96EDE" w:rsidP="00081913">
      <w:pPr>
        <w:pStyle w:val="Corps"/>
        <w:jc w:val="both"/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96EDE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Préconisations :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Proposer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aux collectivités de se porter acquéreurs du foncier des</w:t>
      </w:r>
      <w:r w:rsidR="00AE68A7" w:rsidRPr="00D223F7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Z</w:t>
      </w:r>
      <w:r w:rsidR="00AE68A7" w:rsidRPr="00D223F7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ones d’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A</w:t>
      </w:r>
      <w:r w:rsidR="00AE68A7" w:rsidRPr="00D223F7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ménagement 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C</w:t>
      </w:r>
      <w:r w:rsidR="00AE68A7" w:rsidRPr="00D223F7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oncerté, 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inscrire le principe de mixité dans chacun des</w:t>
      </w:r>
      <w:r w:rsidR="00AB0293" w:rsidRPr="00D223F7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cahiers des charges</w:t>
      </w:r>
      <w:r w:rsidR="00AE68A7" w:rsidRPr="00D223F7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des appels à projets</w:t>
      </w:r>
      <w:r w:rsidR="002B72F8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et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2B72F8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anticiper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les périodes transitoires</w:t>
      </w:r>
      <w:r w:rsidR="002B72F8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.</w:t>
      </w:r>
    </w:p>
    <w:p w:rsidR="00A96EDE" w:rsidRPr="00D223F7" w:rsidRDefault="00A96EDE" w:rsidP="00081913">
      <w:pPr>
        <w:pStyle w:val="Corps"/>
        <w:jc w:val="both"/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</w:p>
    <w:p w:rsidR="00A96EDE" w:rsidRDefault="00522D53" w:rsidP="00452BAE">
      <w:pPr>
        <w:pStyle w:val="Corps"/>
        <w:jc w:val="both"/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452BAE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Enjeu n°</w:t>
      </w:r>
      <w:r w:rsidR="00D00DBC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4</w:t>
      </w:r>
      <w:r w:rsidRPr="00452BAE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 :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AB0293" w:rsidRPr="00D223F7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Proposer des conditions réglementaires et fiscales qui mettent en confiance les acteurs économiques</w:t>
      </w:r>
      <w:r w:rsidR="00E625A4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.</w:t>
      </w:r>
    </w:p>
    <w:p w:rsidR="00AB0293" w:rsidRPr="00452BAE" w:rsidRDefault="00A96EDE" w:rsidP="00452BAE">
      <w:pPr>
        <w:pStyle w:val="Corps"/>
        <w:jc w:val="both"/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sectPr w:rsidR="00AB0293" w:rsidRPr="00452BAE" w:rsidSect="00AB0293">
          <w:type w:val="continuous"/>
          <w:pgSz w:w="11906" w:h="16838"/>
          <w:pgMar w:top="851" w:right="1134" w:bottom="851" w:left="851" w:header="720" w:footer="720" w:gutter="0"/>
          <w:cols w:num="2" w:space="720"/>
        </w:sectPr>
      </w:pPr>
      <w:r w:rsidRPr="00A96EDE">
        <w:rPr>
          <w:rFonts w:asciiTheme="minorHAnsi" w:eastAsia="Calibr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>Préconisations 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: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S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implifi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er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les procédures d’urbanisme complexes, 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valoriser 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la mixité des immeubles, 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a</w:t>
      </w:r>
      <w:r w:rsidR="002B72F8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dapte</w:t>
      </w:r>
      <w:r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r</w:t>
      </w:r>
      <w:r w:rsidR="00081913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la fiscalité immobilière sur des territoires spécifiques </w:t>
      </w:r>
      <w:r w:rsidR="002B72F8">
        <w:rPr>
          <w:rFonts w:asciiTheme="minorHAnsi" w:eastAsia="Calibr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et simplifier les échelles de décisions ainsi que le nombre d’interlocuteurs des acteurs privés</w:t>
      </w:r>
    </w:p>
    <w:p w:rsidR="00AB0293" w:rsidRPr="00D223F7" w:rsidRDefault="00AB0293" w:rsidP="00A864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76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sectPr w:rsidR="00AB0293" w:rsidRPr="00D223F7" w:rsidSect="002A3B02">
          <w:type w:val="continuous"/>
          <w:pgSz w:w="11906" w:h="16838"/>
          <w:pgMar w:top="851" w:right="1134" w:bottom="851" w:left="851" w:header="720" w:footer="720" w:gutter="0"/>
          <w:cols w:space="720"/>
        </w:sectPr>
      </w:pPr>
    </w:p>
    <w:p w:rsidR="002A3B02" w:rsidRPr="00B70637" w:rsidRDefault="002A3B02" w:rsidP="002A3B02">
      <w:pPr>
        <w:pStyle w:val="Standard"/>
        <w:shd w:val="clear" w:color="auto" w:fill="D9D9D9"/>
        <w:spacing w:after="0" w:line="254" w:lineRule="auto"/>
        <w:jc w:val="both"/>
        <w:rPr>
          <w:rFonts w:asciiTheme="minorHAnsi" w:hAnsiTheme="minorHAnsi" w:cstheme="minorHAnsi"/>
          <w:sz w:val="16"/>
          <w:szCs w:val="20"/>
        </w:rPr>
      </w:pPr>
      <w:r w:rsidRPr="00B70637">
        <w:rPr>
          <w:rFonts w:asciiTheme="minorHAnsi" w:hAnsiTheme="minorHAnsi" w:cstheme="minorHAnsi"/>
          <w:b/>
          <w:sz w:val="16"/>
          <w:szCs w:val="20"/>
        </w:rPr>
        <w:t>À propos de l’Observatoire Régional de l’Immobilier d’Entreprise (ORIE)</w:t>
      </w:r>
    </w:p>
    <w:p w:rsidR="00274CE2" w:rsidRPr="00B70637" w:rsidRDefault="002A3B02" w:rsidP="00274CE2">
      <w:pPr>
        <w:pStyle w:val="Standard"/>
        <w:shd w:val="clear" w:color="auto" w:fill="D9D9D9"/>
        <w:spacing w:after="0" w:line="254" w:lineRule="auto"/>
        <w:jc w:val="both"/>
        <w:rPr>
          <w:rFonts w:asciiTheme="minorHAnsi" w:hAnsiTheme="minorHAnsi" w:cstheme="minorHAnsi"/>
          <w:sz w:val="16"/>
          <w:szCs w:val="20"/>
        </w:rPr>
      </w:pPr>
      <w:r w:rsidRPr="00B70637">
        <w:rPr>
          <w:rFonts w:asciiTheme="minorHAnsi" w:hAnsiTheme="minorHAnsi" w:cstheme="minorHAnsi"/>
          <w:sz w:val="16"/>
          <w:szCs w:val="20"/>
        </w:rPr>
        <w:t>Créé en 1986, l’ORIE est un organe privilégié de la concertation entre pouvoirs publics</w:t>
      </w:r>
      <w:r w:rsidR="006C6393" w:rsidRPr="00B70637">
        <w:rPr>
          <w:rFonts w:asciiTheme="minorHAnsi" w:hAnsiTheme="minorHAnsi" w:cstheme="minorHAnsi"/>
          <w:sz w:val="16"/>
          <w:szCs w:val="20"/>
        </w:rPr>
        <w:t xml:space="preserve"> et acteurs privés</w:t>
      </w:r>
      <w:r w:rsidRPr="00B70637">
        <w:rPr>
          <w:rFonts w:asciiTheme="minorHAnsi" w:hAnsiTheme="minorHAnsi" w:cstheme="minorHAnsi"/>
          <w:sz w:val="16"/>
          <w:szCs w:val="20"/>
        </w:rPr>
        <w:t> : c’est une instance d’échanges, de concertation et d’études, réunissant plus de 160 membres issus de différents métiers de l’Industrie immobilière (aménageurs, promoteurs, utilisateurs, conseils, experts, enseignants-chercheurs, collectivités locales et État).</w:t>
      </w:r>
    </w:p>
    <w:p w:rsidR="00AB0293" w:rsidRPr="00B70637" w:rsidRDefault="00AB0293" w:rsidP="00585BFA">
      <w:pPr>
        <w:pStyle w:val="Standard"/>
        <w:tabs>
          <w:tab w:val="left" w:pos="1560"/>
        </w:tabs>
        <w:spacing w:after="0" w:line="276" w:lineRule="auto"/>
        <w:rPr>
          <w:rFonts w:asciiTheme="minorHAnsi" w:hAnsiTheme="minorHAnsi" w:cstheme="minorHAnsi"/>
          <w:b/>
          <w:color w:val="002060"/>
          <w:sz w:val="12"/>
          <w:szCs w:val="16"/>
        </w:rPr>
      </w:pPr>
    </w:p>
    <w:p w:rsidR="002A3B02" w:rsidRPr="00B70637" w:rsidRDefault="00274CE2" w:rsidP="00AB0293">
      <w:pPr>
        <w:pStyle w:val="Standard"/>
        <w:tabs>
          <w:tab w:val="left" w:pos="1560"/>
        </w:tabs>
        <w:spacing w:after="0" w:line="276" w:lineRule="auto"/>
        <w:jc w:val="center"/>
        <w:rPr>
          <w:rFonts w:asciiTheme="minorHAnsi" w:eastAsia="MS Mincho" w:hAnsiTheme="minorHAnsi" w:cstheme="minorHAnsi"/>
          <w:b/>
          <w:bCs/>
          <w:color w:val="1F4E79" w:themeColor="accent5" w:themeShade="80"/>
          <w:szCs w:val="20"/>
          <w:lang w:eastAsia="ja-JP"/>
        </w:rPr>
      </w:pPr>
      <w:r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t>Contact presse et rédact</w:t>
      </w:r>
      <w:r w:rsidR="00452BAE"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t>rice de l’étude</w:t>
      </w:r>
      <w:r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t xml:space="preserve"> : </w:t>
      </w:r>
      <w:r w:rsidR="00452BAE"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t>Raphaëlle ZEPPA</w:t>
      </w:r>
      <w:r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t xml:space="preserve"> - 01 40 61 </w:t>
      </w:r>
      <w:r w:rsidR="00AE68A7"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t xml:space="preserve">86 </w:t>
      </w:r>
      <w:r w:rsidR="00452BAE"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t>92</w:t>
      </w:r>
      <w:r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t xml:space="preserve"> </w:t>
      </w:r>
      <w:r w:rsidR="00AE68A7"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t>–</w:t>
      </w:r>
      <w:r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t xml:space="preserve"> </w:t>
      </w:r>
      <w:r w:rsidR="00452BAE" w:rsidRPr="00B70637">
        <w:rPr>
          <w:rFonts w:eastAsia="MS Mincho"/>
          <w:b/>
          <w:bCs/>
          <w:color w:val="1F4E79" w:themeColor="accent5" w:themeShade="80"/>
          <w:sz w:val="16"/>
          <w:szCs w:val="20"/>
          <w:lang w:eastAsia="ja-JP"/>
        </w:rPr>
        <w:t>raphaelle.zeppa@i-carre.net</w:t>
      </w:r>
      <w:r w:rsidRPr="00B70637">
        <w:rPr>
          <w:rFonts w:asciiTheme="minorHAnsi" w:eastAsia="MS Mincho" w:hAnsiTheme="minorHAnsi" w:cstheme="minorHAnsi"/>
          <w:b/>
          <w:bCs/>
          <w:color w:val="1F4E79" w:themeColor="accent5" w:themeShade="80"/>
          <w:sz w:val="16"/>
          <w:szCs w:val="20"/>
          <w:lang w:eastAsia="ja-JP"/>
        </w:rPr>
        <w:br/>
      </w:r>
    </w:p>
    <w:sectPr w:rsidR="002A3B02" w:rsidRPr="00B70637" w:rsidSect="002A3B02">
      <w:type w:val="continuous"/>
      <w:pgSz w:w="11906" w:h="16838"/>
      <w:pgMar w:top="851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76" w:rsidRDefault="00744076">
      <w:r>
        <w:separator/>
      </w:r>
    </w:p>
  </w:endnote>
  <w:endnote w:type="continuationSeparator" w:id="0">
    <w:p w:rsidR="00744076" w:rsidRDefault="007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CE" w:rsidRDefault="00ED09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76" w:rsidRDefault="00744076">
      <w:r>
        <w:rPr>
          <w:color w:val="000000"/>
        </w:rPr>
        <w:separator/>
      </w:r>
    </w:p>
  </w:footnote>
  <w:footnote w:type="continuationSeparator" w:id="0">
    <w:p w:rsidR="00744076" w:rsidRDefault="0074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BA6"/>
    <w:multiLevelType w:val="hybridMultilevel"/>
    <w:tmpl w:val="114AA84C"/>
    <w:styleLink w:val="Tiret"/>
    <w:lvl w:ilvl="0" w:tplc="E140E8F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586034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A76941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F84294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138359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B5E16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5B4193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5DC00F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6D0DA8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437810CA"/>
    <w:multiLevelType w:val="hybridMultilevel"/>
    <w:tmpl w:val="9D64B134"/>
    <w:lvl w:ilvl="0" w:tplc="C9FC4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5704D"/>
    <w:multiLevelType w:val="multilevel"/>
    <w:tmpl w:val="00227E32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840087B"/>
    <w:multiLevelType w:val="hybridMultilevel"/>
    <w:tmpl w:val="EDEE6B6E"/>
    <w:lvl w:ilvl="0" w:tplc="040C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B42570F"/>
    <w:multiLevelType w:val="hybridMultilevel"/>
    <w:tmpl w:val="114AA84C"/>
    <w:numStyleLink w:val="Tiret"/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6B"/>
    <w:rsid w:val="00015EB0"/>
    <w:rsid w:val="0002460E"/>
    <w:rsid w:val="00046869"/>
    <w:rsid w:val="00081913"/>
    <w:rsid w:val="000B310B"/>
    <w:rsid w:val="000C2AD5"/>
    <w:rsid w:val="001743CE"/>
    <w:rsid w:val="001F7042"/>
    <w:rsid w:val="00203F67"/>
    <w:rsid w:val="00206A59"/>
    <w:rsid w:val="00274CE2"/>
    <w:rsid w:val="002A3B02"/>
    <w:rsid w:val="002A7CA9"/>
    <w:rsid w:val="002B72F8"/>
    <w:rsid w:val="00334A5C"/>
    <w:rsid w:val="00354A34"/>
    <w:rsid w:val="00370E6C"/>
    <w:rsid w:val="003A3D0F"/>
    <w:rsid w:val="003B39B6"/>
    <w:rsid w:val="003C0648"/>
    <w:rsid w:val="0044416B"/>
    <w:rsid w:val="004513B3"/>
    <w:rsid w:val="00452BAE"/>
    <w:rsid w:val="00493D95"/>
    <w:rsid w:val="004B074F"/>
    <w:rsid w:val="004B4380"/>
    <w:rsid w:val="00522D53"/>
    <w:rsid w:val="005618DE"/>
    <w:rsid w:val="00585BFA"/>
    <w:rsid w:val="005A2B6F"/>
    <w:rsid w:val="005A5DF3"/>
    <w:rsid w:val="005B3F23"/>
    <w:rsid w:val="006104AD"/>
    <w:rsid w:val="00617036"/>
    <w:rsid w:val="00624E40"/>
    <w:rsid w:val="006A1418"/>
    <w:rsid w:val="006C6393"/>
    <w:rsid w:val="006E1460"/>
    <w:rsid w:val="00744076"/>
    <w:rsid w:val="007645B8"/>
    <w:rsid w:val="0078229C"/>
    <w:rsid w:val="007B553A"/>
    <w:rsid w:val="0080046C"/>
    <w:rsid w:val="00813611"/>
    <w:rsid w:val="0085692C"/>
    <w:rsid w:val="008858DE"/>
    <w:rsid w:val="009429BA"/>
    <w:rsid w:val="009C0C20"/>
    <w:rsid w:val="009D22C1"/>
    <w:rsid w:val="009D4F53"/>
    <w:rsid w:val="009D59E3"/>
    <w:rsid w:val="009F0136"/>
    <w:rsid w:val="00A05E81"/>
    <w:rsid w:val="00A11C77"/>
    <w:rsid w:val="00A86497"/>
    <w:rsid w:val="00A96EDE"/>
    <w:rsid w:val="00AB0293"/>
    <w:rsid w:val="00AE68A7"/>
    <w:rsid w:val="00AF62AD"/>
    <w:rsid w:val="00B34B11"/>
    <w:rsid w:val="00B64E93"/>
    <w:rsid w:val="00B70637"/>
    <w:rsid w:val="00BA1CDD"/>
    <w:rsid w:val="00BD7459"/>
    <w:rsid w:val="00CC1B5F"/>
    <w:rsid w:val="00CF26E4"/>
    <w:rsid w:val="00CF6F4F"/>
    <w:rsid w:val="00D00DBC"/>
    <w:rsid w:val="00D223F7"/>
    <w:rsid w:val="00D518DA"/>
    <w:rsid w:val="00DB0F19"/>
    <w:rsid w:val="00DE3B7F"/>
    <w:rsid w:val="00E2508F"/>
    <w:rsid w:val="00E54B12"/>
    <w:rsid w:val="00E625A4"/>
    <w:rsid w:val="00E77B86"/>
    <w:rsid w:val="00EA5645"/>
    <w:rsid w:val="00ED09CE"/>
    <w:rsid w:val="00ED3D92"/>
    <w:rsid w:val="00F023AD"/>
    <w:rsid w:val="00F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55A3"/>
  <w15:docId w15:val="{DCE60571-1F91-44CE-A27A-8F1A878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Rvision">
    <w:name w:val="Revision"/>
    <w:pPr>
      <w:widowControl/>
    </w:p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Mentionnonrsolue">
    <w:name w:val="Unresolved Mention"/>
    <w:basedOn w:val="Policepardfaut"/>
    <w:rPr>
      <w:color w:val="808080"/>
      <w:shd w:val="clear" w:color="auto" w:fill="E6E6E6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9D59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3B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09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9CE"/>
  </w:style>
  <w:style w:type="paragraph" w:styleId="Pieddepage">
    <w:name w:val="footer"/>
    <w:basedOn w:val="Normal"/>
    <w:link w:val="PieddepageCar"/>
    <w:uiPriority w:val="99"/>
    <w:unhideWhenUsed/>
    <w:rsid w:val="00ED09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9CE"/>
  </w:style>
  <w:style w:type="paragraph" w:customStyle="1" w:styleId="Corps">
    <w:name w:val="Corps"/>
    <w:qFormat/>
    <w:rsid w:val="00AB0293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numbering" w:customStyle="1" w:styleId="Tiret">
    <w:name w:val="Tiret"/>
    <w:rsid w:val="00AB029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9EA7-F1C7-4B0B-B732-9ED4DFFC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BEHARY Pascale</dc:creator>
  <cp:lastModifiedBy>ZEPPA Raphaëlle</cp:lastModifiedBy>
  <cp:revision>2</cp:revision>
  <cp:lastPrinted>2018-11-19T08:59:00Z</cp:lastPrinted>
  <dcterms:created xsi:type="dcterms:W3CDTF">2019-05-16T12:16:00Z</dcterms:created>
  <dcterms:modified xsi:type="dcterms:W3CDTF">2019-05-16T12:16:00Z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